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C3" w:rsidRDefault="00D048C3" w:rsidP="00D048C3">
      <w:pPr>
        <w:autoSpaceDE w:val="0"/>
        <w:autoSpaceDN w:val="0"/>
        <w:adjustRightInd w:val="0"/>
        <w:ind w:right="0"/>
        <w:jc w:val="both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D048C3" w:rsidRDefault="00D048C3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</w:t>
      </w:r>
    </w:p>
    <w:p w:rsidR="00D048C3" w:rsidRDefault="00FD1132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hyperlink r:id="rId5" w:history="1">
        <w:r w:rsidR="00D048C3">
          <w:rPr>
            <w:rFonts w:ascii="Arial CYR" w:hAnsi="Arial CYR" w:cs="Arial CYR"/>
            <w:color w:val="0000FF"/>
            <w:sz w:val="20"/>
            <w:szCs w:val="20"/>
          </w:rPr>
          <w:t>Приказом</w:t>
        </w:r>
      </w:hyperlink>
      <w:r w:rsidR="00D048C3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D048C3">
        <w:rPr>
          <w:rFonts w:ascii="Arial CYR" w:hAnsi="Arial CYR" w:cs="Arial CYR"/>
          <w:sz w:val="20"/>
          <w:szCs w:val="20"/>
        </w:rPr>
        <w:t>Федерального</w:t>
      </w:r>
      <w:proofErr w:type="gramEnd"/>
    </w:p>
    <w:p w:rsidR="00D048C3" w:rsidRDefault="00D048C3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агентства по </w:t>
      </w:r>
      <w:proofErr w:type="gramStart"/>
      <w:r>
        <w:rPr>
          <w:rFonts w:ascii="Arial CYR" w:hAnsi="Arial CYR" w:cs="Arial CYR"/>
          <w:sz w:val="20"/>
          <w:szCs w:val="20"/>
        </w:rPr>
        <w:t>техническому</w:t>
      </w:r>
      <w:proofErr w:type="gramEnd"/>
    </w:p>
    <w:p w:rsidR="00D048C3" w:rsidRDefault="00D048C3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регулированию и метрологии</w:t>
      </w:r>
    </w:p>
    <w:p w:rsidR="00D048C3" w:rsidRDefault="00D048C3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22 ноября 2005 г. N 296-ст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введения -</w:t>
      </w:r>
    </w:p>
    <w:p w:rsidR="00D048C3" w:rsidRDefault="00D048C3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 мая 2006 года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НАЦИОНАЛЬНЫЙ СТАНДАРТ РОССИЙСКОЙ ФЕДЕРАЦИИ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КЛАССИФИКАЦИЯ АВТОМОБИЛЬНЫХ ДОРОГ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ОСНОВНЫЕ ПАРАМЕТРЫ И ТРЕБОВАНИЯ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</w:p>
    <w:p w:rsidR="00D048C3" w:rsidRP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D048C3">
        <w:rPr>
          <w:rFonts w:ascii="Arial CYR" w:hAnsi="Arial CYR" w:cs="Arial CYR"/>
          <w:b/>
          <w:bCs/>
          <w:sz w:val="20"/>
          <w:szCs w:val="20"/>
          <w:lang w:val="en-US"/>
        </w:rPr>
        <w:t>CLASSIFICATION OF AUTOMOBILE ROADS. GENERAL PARAMETERS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AND REQUIREMENTS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ГОСТ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52398-2005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Предисловие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 xml:space="preserve">ГОСТ </w:t>
        </w:r>
        <w:proofErr w:type="gramStart"/>
        <w:r>
          <w:rPr>
            <w:rFonts w:ascii="Arial CYR" w:hAnsi="Arial CYR" w:cs="Arial CYR"/>
            <w:color w:val="0000FF"/>
            <w:sz w:val="20"/>
            <w:szCs w:val="20"/>
          </w:rPr>
          <w:t>Р</w:t>
        </w:r>
        <w:proofErr w:type="gramEnd"/>
        <w:r>
          <w:rPr>
            <w:rFonts w:ascii="Arial CYR" w:hAnsi="Arial CYR" w:cs="Arial CYR"/>
            <w:color w:val="0000FF"/>
            <w:sz w:val="20"/>
            <w:szCs w:val="20"/>
          </w:rPr>
          <w:t xml:space="preserve"> 1.0-2004</w:t>
        </w:r>
      </w:hyperlink>
      <w:r>
        <w:rPr>
          <w:rFonts w:ascii="Arial CYR" w:hAnsi="Arial CYR" w:cs="Arial CYR"/>
          <w:sz w:val="20"/>
          <w:szCs w:val="20"/>
        </w:rPr>
        <w:t xml:space="preserve"> "Стандартизация в Российской Федерации. Основные положения".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Сведения о стандарте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</w:t>
      </w:r>
      <w:proofErr w:type="gramStart"/>
      <w:r>
        <w:rPr>
          <w:rFonts w:ascii="Arial CYR" w:hAnsi="Arial CYR" w:cs="Arial CYR"/>
          <w:sz w:val="20"/>
          <w:szCs w:val="20"/>
        </w:rPr>
        <w:t>Разработан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Московским автомобильно-дорожным институтом (Государственным техническим университетом), Российской академией транспорта, ООО "</w:t>
      </w:r>
      <w:proofErr w:type="spellStart"/>
      <w:r>
        <w:rPr>
          <w:rFonts w:ascii="Arial CYR" w:hAnsi="Arial CYR" w:cs="Arial CYR"/>
          <w:sz w:val="20"/>
          <w:szCs w:val="20"/>
        </w:rPr>
        <w:t>Инжинирингинвест</w:t>
      </w:r>
      <w:proofErr w:type="spellEnd"/>
      <w:r>
        <w:rPr>
          <w:rFonts w:ascii="Arial CYR" w:hAnsi="Arial CYR" w:cs="Arial CYR"/>
          <w:sz w:val="20"/>
          <w:szCs w:val="20"/>
        </w:rPr>
        <w:t>".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</w:t>
      </w:r>
      <w:proofErr w:type="gramStart"/>
      <w:r>
        <w:rPr>
          <w:rFonts w:ascii="Arial CYR" w:hAnsi="Arial CYR" w:cs="Arial CYR"/>
          <w:sz w:val="20"/>
          <w:szCs w:val="20"/>
        </w:rPr>
        <w:t>Внесен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техническим комитетом по стандартизации ТК 418 "Дорожное хозяйство".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Утвержден и введен в действие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Приказом</w:t>
        </w:r>
      </w:hyperlink>
      <w:r>
        <w:rPr>
          <w:rFonts w:ascii="Arial CYR" w:hAnsi="Arial CYR" w:cs="Arial CYR"/>
          <w:sz w:val="20"/>
          <w:szCs w:val="20"/>
        </w:rPr>
        <w:t xml:space="preserve"> Федерального агентства по техническому регулированию и метрологии от 22 ноября 2005 г. N 296-ст.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Введен впервые.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издаваемых информационных указателях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Область применения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Настоящий стандарт распространяется на существующие и проектируемые автомобильные дороги общего пользования (далее - автомобильные дороги) и устанавливает их техническую классификацию.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Термины и определения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настоящем стандарте применены следующие термины с соответствующими определениями: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2.1. Техническая классификация автомобильных дорог: разделение множества автомобильных дорог по классификационным признакам на классы и категории.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2.2. Класс автомобильной дороги: характеристика автомобильной дороги по условиям доступа на нее.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2.3. Категория автомобильной дороги: характеристика, отражающая принадлежность автомобильной дороги соответствующему классу и определяющая технические параметры автомобильной дороги.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2.4. Доступ на автомобильную дорогу: возможность въезда на автомобильную дорогу и съезда с нее транспортных средств, определяемая типом пересечения или примыкания.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Классы автомобильных дорог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3.1. Автомобильные дороги по условиям движения и доступа на них транспортных средств разделяют на три класса: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автомагистраль,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скоростная дорога,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дорога обычного типа (</w:t>
      </w:r>
      <w:proofErr w:type="spellStart"/>
      <w:r>
        <w:rPr>
          <w:rFonts w:ascii="Arial CYR" w:hAnsi="Arial CYR" w:cs="Arial CYR"/>
          <w:sz w:val="20"/>
          <w:szCs w:val="20"/>
        </w:rPr>
        <w:t>нескоростная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дорога).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3.1.1. К классу "автомагистраль" относят автомобильные дороги: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</w:t>
      </w:r>
      <w:proofErr w:type="gramStart"/>
      <w:r>
        <w:rPr>
          <w:rFonts w:ascii="Arial CYR" w:hAnsi="Arial CYR" w:cs="Arial CYR"/>
          <w:sz w:val="20"/>
          <w:szCs w:val="20"/>
        </w:rPr>
        <w:t>имеющие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всем протяжении многополосную проезжую часть с центральной разделительной полосой;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не </w:t>
      </w:r>
      <w:proofErr w:type="gramStart"/>
      <w:r>
        <w:rPr>
          <w:rFonts w:ascii="Arial CYR" w:hAnsi="Arial CYR" w:cs="Arial CYR"/>
          <w:sz w:val="20"/>
          <w:szCs w:val="20"/>
        </w:rPr>
        <w:t>имеющие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пересечений в одном уровне с автомобильными, железными дорогами, трамвайными путями, велосипедными и пешеходными дорожками;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</w:t>
      </w:r>
      <w:proofErr w:type="gramStart"/>
      <w:r>
        <w:rPr>
          <w:rFonts w:ascii="Arial CYR" w:hAnsi="Arial CYR" w:cs="Arial CYR"/>
          <w:sz w:val="20"/>
          <w:szCs w:val="20"/>
        </w:rPr>
        <w:t>доступ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которые возможен только через пересечения в разных уровнях, устроенных не чаще, чем через 5 км друг от друга.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3.1.2. К классу "скоростная дорога" относят автомобильные дороги: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</w:t>
      </w:r>
      <w:proofErr w:type="gramStart"/>
      <w:r>
        <w:rPr>
          <w:rFonts w:ascii="Arial CYR" w:hAnsi="Arial CYR" w:cs="Arial CYR"/>
          <w:sz w:val="20"/>
          <w:szCs w:val="20"/>
        </w:rPr>
        <w:t>имеющие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всем протяжении многополосную проезжую часть с центральной разделительной полосой;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не </w:t>
      </w:r>
      <w:proofErr w:type="gramStart"/>
      <w:r>
        <w:rPr>
          <w:rFonts w:ascii="Arial CYR" w:hAnsi="Arial CYR" w:cs="Arial CYR"/>
          <w:sz w:val="20"/>
          <w:szCs w:val="20"/>
        </w:rPr>
        <w:t>имеющие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пересечений в одном уровне с автомобильными, железными дорогами, трамвайными путями, велосипедными и пешеходными дорожками;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</w:t>
      </w:r>
      <w:proofErr w:type="gramStart"/>
      <w:r>
        <w:rPr>
          <w:rFonts w:ascii="Arial CYR" w:hAnsi="Arial CYR" w:cs="Arial CYR"/>
          <w:sz w:val="20"/>
          <w:szCs w:val="20"/>
        </w:rPr>
        <w:t>доступ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которые возможен через пересечения в разных уровнях и примыкания в одном уровне (без пересечения потоков прямого направления), устроенных не чаще, чем через 3 км друг от друга.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3.1.3. К классу "дороги обычного типа" относят автомобильные дороги, не отнесенные к классам "автомагистраль" и "скоростная дорога":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</w:t>
      </w:r>
      <w:proofErr w:type="gramStart"/>
      <w:r>
        <w:rPr>
          <w:rFonts w:ascii="Arial CYR" w:hAnsi="Arial CYR" w:cs="Arial CYR"/>
          <w:sz w:val="20"/>
          <w:szCs w:val="20"/>
        </w:rPr>
        <w:t>имеющие</w:t>
      </w:r>
      <w:proofErr w:type="gramEnd"/>
      <w:r>
        <w:rPr>
          <w:rFonts w:ascii="Arial CYR" w:hAnsi="Arial CYR" w:cs="Arial CYR"/>
          <w:sz w:val="20"/>
          <w:szCs w:val="20"/>
        </w:rPr>
        <w:t xml:space="preserve"> единую проезжую часть или с центральной разделительной полосой;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</w:t>
      </w:r>
      <w:proofErr w:type="gramStart"/>
      <w:r>
        <w:rPr>
          <w:rFonts w:ascii="Arial CYR" w:hAnsi="Arial CYR" w:cs="Arial CYR"/>
          <w:sz w:val="20"/>
          <w:szCs w:val="20"/>
        </w:rPr>
        <w:t>доступ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 которые возможен через пересечения и примыкания в разных и одном уровне, расположенные для дорог категорий IB, II, III не чаще, чем через 600 м, для дорог категории IV не чаще, чем через 100 м, категории V - 50 м друг от друга.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Категории автомобильных дорог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4.1. Автомобильные дороги по транспортно-эксплуатационным качествам и потребительским свойствам разделяют на категории в зависимости </w:t>
      </w:r>
      <w:proofErr w:type="gramStart"/>
      <w:r>
        <w:rPr>
          <w:rFonts w:ascii="Arial CYR" w:hAnsi="Arial CYR" w:cs="Arial CYR"/>
          <w:sz w:val="20"/>
          <w:szCs w:val="20"/>
        </w:rPr>
        <w:t>от</w:t>
      </w:r>
      <w:proofErr w:type="gramEnd"/>
      <w:r>
        <w:rPr>
          <w:rFonts w:ascii="Arial CYR" w:hAnsi="Arial CYR" w:cs="Arial CYR"/>
          <w:sz w:val="20"/>
          <w:szCs w:val="20"/>
        </w:rPr>
        <w:t>: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количества и ширины полос движения;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наличия центральной разделительной полосы;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типа пересечений с автомобильными, железными дорогами, трамвайными путями, велосипедными и пешеходными дорожками;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условий доступа на автомобильную дорогу с примыканий в одном уровне.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Основные технические характеристики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классификационных признаков автомобильных дорог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Основные технические характеристики классификационных признаков автомобильных дорог приведены в таблице 1.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Таблица 1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ТЕХНИЧЕСКАЯ КЛАССИФИКАЦИЯ АВТОМОБИЛЬНЫХ ДОРОГ</w:t>
      </w:r>
    </w:p>
    <w:p w:rsidR="00D048C3" w:rsidRDefault="00D048C3" w:rsidP="00D048C3">
      <w:pPr>
        <w:autoSpaceDE w:val="0"/>
        <w:autoSpaceDN w:val="0"/>
        <w:adjustRightInd w:val="0"/>
        <w:ind w:right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ОБЩЕГО ПОЛЬЗОВАНИЯ</w:t>
      </w: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896"/>
        <w:gridCol w:w="1024"/>
        <w:gridCol w:w="896"/>
        <w:gridCol w:w="1152"/>
        <w:gridCol w:w="1664"/>
        <w:gridCol w:w="1408"/>
        <w:gridCol w:w="1152"/>
      </w:tblGrid>
      <w:tr w:rsidR="00D048C3">
        <w:trPr>
          <w:trHeight w:val="160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Класс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автомо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бильной</w:t>
            </w:r>
            <w:proofErr w:type="spellEnd"/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дороги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Кате-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гория</w:t>
            </w:r>
            <w:proofErr w:type="spellEnd"/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авто-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мо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биль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ной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доро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ги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Общее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коли-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чество</w:t>
            </w:r>
            <w:proofErr w:type="spellEnd"/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полос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движе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Шири-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на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поло-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сы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дви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же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,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м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Цент-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ральная</w:t>
            </w:r>
            <w:proofErr w:type="spellEnd"/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разде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литель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полоса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Пересечения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автомо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бильными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дорогами,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велосипед-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ными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пе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шеходными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дорожками  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Пересече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с же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лезными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дорогами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трам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вайными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путями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Доступ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на до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рогу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с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примы-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кания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в одном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уровне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</w:p>
        </w:tc>
      </w:tr>
      <w:tr w:rsidR="00D048C3">
        <w:trPr>
          <w:trHeight w:val="80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Автома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гист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раль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IA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4 и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более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3,75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Обяза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тельна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В разных уровнях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Не 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допус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кается </w:t>
            </w:r>
          </w:p>
        </w:tc>
      </w:tr>
      <w:tr w:rsidR="00D048C3">
        <w:trPr>
          <w:trHeight w:val="80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Скоро-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стная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дорога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I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Б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4 и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более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3,75 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Допус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кается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пе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ресече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прямого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направ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</w:tc>
      </w:tr>
      <w:tr w:rsidR="00D048C3">
        <w:trPr>
          <w:trHeight w:val="1000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Дорога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обычно-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го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типа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(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неско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  <w:proofErr w:type="gramEnd"/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ростная</w:t>
            </w:r>
            <w:proofErr w:type="spellEnd"/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дорога)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I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В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4 и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более </w:t>
            </w:r>
          </w:p>
          <w:p w:rsidR="00D048C3" w:rsidRDefault="00FD1132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hyperlink r:id="rId9" w:history="1">
              <w:r w:rsidR="00D048C3">
                <w:rPr>
                  <w:rFonts w:ascii="Courier New CYR" w:hAnsi="Courier New CYR" w:cs="Courier New CYR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3,75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Обяза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тельна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Допускаются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пересечения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в одном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уровне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со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светофорным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регулирова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нием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    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В разных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уровнях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048C3">
        <w:trPr>
          <w:trHeight w:val="1200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4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3,5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Допус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кается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отсут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-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ствие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</w:t>
            </w:r>
          </w:p>
          <w:p w:rsidR="00D048C3" w:rsidRDefault="00FD1132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hyperlink r:id="rId10" w:history="1">
              <w:r w:rsidR="00D048C3">
                <w:rPr>
                  <w:rFonts w:ascii="Courier New CYR" w:hAnsi="Courier New CYR" w:cs="Courier New CYR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048C3">
        <w:trPr>
          <w:trHeight w:val="600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D048C3" w:rsidRDefault="00FD1132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hyperlink r:id="rId11" w:history="1">
              <w:r w:rsidR="00D048C3" w:rsidRPr="00C17F7A">
                <w:rPr>
                  <w:rStyle w:val="a3"/>
                </w:rPr>
                <w:t xml:space="preserve">l Par127  o </w:t>
              </w:r>
            </w:hyperlink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>-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буется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Допускаются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пересечения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в одном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уровне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ourier New CYR" w:hAnsi="Courier New CYR" w:cs="Courier New CYR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048C3">
        <w:trPr>
          <w:trHeight w:val="400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2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3,5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048C3">
        <w:trPr>
          <w:trHeight w:val="400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2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3,0 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048C3">
        <w:trPr>
          <w:trHeight w:val="600"/>
        </w:trPr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1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4,5 и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более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D048C3">
        <w:trPr>
          <w:trHeight w:val="2600"/>
        </w:trPr>
        <w:tc>
          <w:tcPr>
            <w:tcW w:w="93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&lt;1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&gt; Б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олее  шести  полос  допускается  только  на существующих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автомобильных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дорогах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.                                      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&lt;2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&gt; Н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   дороге     категории   II   требование   к   наличию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разделительной   полосы   определяется   проектом    организации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дорожного движения.                                         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&lt;3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&gt; Т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ри    полосы   движения    только    для    существующих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автомобильных дорог.                                            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  &lt;4&gt; Пересечение 4-полосной  дороги категории II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с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аналогичной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осуществляется  в разных уровнях.  Другие  варианты  пересечения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дорог  категории  II  с  дорогами  категорий   II  и  III  могут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осуществляться как в разных уровнях, так и в одном  (при условии</w:t>
            </w:r>
            <w:proofErr w:type="gramEnd"/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светофорного  регулирования,  "отнесенных"  левых  поворотов или</w:t>
            </w:r>
          </w:p>
          <w:p w:rsidR="00D048C3" w:rsidRDefault="00D048C3">
            <w:pPr>
              <w:autoSpaceDE w:val="0"/>
              <w:autoSpaceDN w:val="0"/>
              <w:adjustRightInd w:val="0"/>
              <w:ind w:right="0"/>
              <w:jc w:val="left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пересечения кольцевого типа).                                   </w:t>
            </w:r>
          </w:p>
        </w:tc>
      </w:tr>
    </w:tbl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 w:firstLine="540"/>
        <w:jc w:val="both"/>
        <w:rPr>
          <w:rFonts w:ascii="Arial CYR" w:hAnsi="Arial CYR" w:cs="Arial CYR"/>
          <w:sz w:val="20"/>
          <w:szCs w:val="20"/>
        </w:rPr>
      </w:pPr>
    </w:p>
    <w:p w:rsidR="00D048C3" w:rsidRDefault="00D048C3" w:rsidP="00D048C3">
      <w:pPr>
        <w:autoSpaceDE w:val="0"/>
        <w:autoSpaceDN w:val="0"/>
        <w:adjustRightInd w:val="0"/>
        <w:ind w:right="0"/>
        <w:jc w:val="left"/>
        <w:rPr>
          <w:rFonts w:ascii="Arial CYR" w:hAnsi="Arial CYR" w:cs="Arial CYR"/>
          <w:sz w:val="5"/>
          <w:szCs w:val="5"/>
        </w:rPr>
      </w:pPr>
    </w:p>
    <w:p w:rsidR="000C3496" w:rsidRDefault="000C3496"/>
    <w:sectPr w:rsidR="000C3496" w:rsidSect="00C17F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3"/>
    <w:rsid w:val="000C3496"/>
    <w:rsid w:val="00234DD9"/>
    <w:rsid w:val="007D2841"/>
    <w:rsid w:val="00D048C3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8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8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A8AB0801C00CC339DDC3D6D7B66E2216998F01C040AFD71615844C4C1477kAeCI%20o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998E5ACBBA05B9E3A1B20F01C00CC13FD0C4DED3B66E2216998F01kCe0I%20o%20" TargetMode="External"/><Relationship Id="rId12" Type="http://schemas.openxmlformats.org/officeDocument/2006/relationships/hyperlink" Target="l%20Par129%20%20o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998E5ACBBA05B9E3A1B20F01C00CC139D3C8D6D1B66E2216998F01kCe0I%20o%20" TargetMode="External"/><Relationship Id="rId11" Type="http://schemas.openxmlformats.org/officeDocument/2006/relationships/hyperlink" Target="l%20Par127%20%20o%20" TargetMode="External"/><Relationship Id="rId5" Type="http://schemas.openxmlformats.org/officeDocument/2006/relationships/hyperlink" Target="consultantplus://offline/ref=0DEF998E5ACBBA05B9E3A8AB0801C00CC339DDC3D6D7B66E2216998F01C040AFD71615844C4C1477kAeCI%20o%20" TargetMode="External"/><Relationship Id="rId10" Type="http://schemas.openxmlformats.org/officeDocument/2006/relationships/hyperlink" Target="l%20Par124%20%20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%20Par122%20%20o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2014-04-28T10:26:00Z</cp:lastPrinted>
  <dcterms:created xsi:type="dcterms:W3CDTF">2014-04-28T08:28:00Z</dcterms:created>
  <dcterms:modified xsi:type="dcterms:W3CDTF">2014-04-28T10:26:00Z</dcterms:modified>
</cp:coreProperties>
</file>