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42" w:rsidRDefault="0052764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27642" w:rsidRDefault="005276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Госстандарта</w:t>
      </w:r>
    </w:p>
    <w:p w:rsidR="00527642" w:rsidRDefault="005276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7642" w:rsidRDefault="005276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октября 1993 г. N 221</w:t>
      </w:r>
    </w:p>
    <w:p w:rsidR="00527642" w:rsidRDefault="005276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1 июля 1994 года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СТАНДАРТ РОССИЙСКОЙ ФЕДЕРАЦИИ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ГОСТ Р 50597-93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АВТОМОБИЛЬНЫЕ ДОРОГИ И УЛИЦЫ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ЭКСПЛУАТАЦИОННОМУ СОСТОЯНИЮ, ДОПУСТИМОМУ ПО УСЛОВИЯМ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БЕЗОПАСНОСТИ ДОРОЖНОГО ДВИЖЕНИЯ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Предисловие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Научно-исследовательским центром Государственной автомобильной инспекции Министерства внутренних дел Российской Федерации (НИЦ ГАИ МВД России), Научно-производственным объединением "РосдорНИИ", Московским автомобильно-дорожным институтом, Государственным дорожным научно-исследовательским институтом "СоюздорНИИ", Академией коммунального хозяйства им. К.Д. Памфилова, Министерством транспорта Российской Федерации.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 Техническим комитетом по стандартизации ТК 278 "Безопасность дорожного движения".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Постановлением Госстандарта России от 11.10.93 N 221.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Введен впервые.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1. Область применения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дорог, улиц и дорог городов и других населенных пунктов, а также требования к эксплуатационному состоянию технических средств организации дорожного движения.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требования стандарта являются обязательными и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 распространяется: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 01.01.95 на находящиеся в эксплуатации федеральные автомобильные дороги, магистральные дороги и улицы городов и других населенных пунктов;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01.01.95 на все эксплуатируемые автомобильные дороги общего пользования с цементобетонным покрытием и любым покрытием из битумоминеральных смесей и на все дороги и улицы городов и других населенных пунктов.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Автомобильные дороги, дороги и улицы городов и других населенных пунктов по их транспортно-эксплуатационным характеристикам объединены в три группы: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А - автомобильные дороги с интенсивностью движения более 3000 авт/сут; в городах и населенных пунктах - магистральные дороги скоростного движения, магистральные улицы общегородского значения непрерывного движения;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Б - автомобильные дороги с интенсивностью движения от 1000 до 3000 авт/сут; в городах и населенных пунктах - магистральные дороги регулируемого движения, магистральные улицы общегородского значения регулируемого движения и районного значения;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В - автомобильные дороги с интенсивностью движения менее 1000 авт/сут; в городах и населенных пунктах - улицы и дороги местного значения;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категории улиц и дорог в городах и населенных пунктах - по СНиП 2.07.01.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Установленные стандартом требования должны обеспечиваться организациями, в ведении которых находятся автомобильные дороги, а также улицы и дороги городов и других населенных пунктов.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когда эксплуатационное состояние дорог и улиц не отвечает требованиям настоящего стандарта, на них должны быть введены временные ограничения, обеспечивающие безопасность движения, вплоть до полного запрещения движения.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2. Нормативные ссылки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ссылки на следующие стандарты, строительные нормы и правила, инструкции: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ГОСТ 10807-78</w:t>
        </w:r>
      </w:hyperlink>
      <w:r>
        <w:rPr>
          <w:rFonts w:ascii="Calibri" w:hAnsi="Calibri" w:cs="Calibri"/>
        </w:rPr>
        <w:t xml:space="preserve"> Знаки дорожные. Общие технические условия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ГОСТ 13508-74 Разметка дорожная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ГОСТ 23457-86</w:t>
        </w:r>
      </w:hyperlink>
      <w:r>
        <w:rPr>
          <w:rFonts w:ascii="Calibri" w:hAnsi="Calibri" w:cs="Calibri"/>
        </w:rPr>
        <w:t xml:space="preserve"> Технические средства организации дорожного движения. Правила применения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ГОСТ 25695-91</w:t>
        </w:r>
      </w:hyperlink>
      <w:r>
        <w:rPr>
          <w:rFonts w:ascii="Calibri" w:hAnsi="Calibri" w:cs="Calibri"/>
        </w:rPr>
        <w:t xml:space="preserve"> Светофоры дорожные. Типы. Основные параметры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ГОСТ 26804-86</w:t>
        </w:r>
      </w:hyperlink>
      <w:r>
        <w:rPr>
          <w:rFonts w:ascii="Calibri" w:hAnsi="Calibri" w:cs="Calibri"/>
        </w:rPr>
        <w:t xml:space="preserve"> Ограждения дорожные металлические барьерного типа. Технические условия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СНиП 2.05.02-85</w:t>
        </w:r>
      </w:hyperlink>
      <w:r>
        <w:rPr>
          <w:rFonts w:ascii="Calibri" w:hAnsi="Calibri" w:cs="Calibri"/>
        </w:rPr>
        <w:t xml:space="preserve"> Автомобильные дороги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СНиП 2.07.01-89</w:t>
        </w:r>
      </w:hyperlink>
      <w:r>
        <w:rPr>
          <w:rFonts w:ascii="Calibri" w:hAnsi="Calibri" w:cs="Calibri"/>
        </w:rPr>
        <w:t xml:space="preserve"> Планировка и застройка городских и сельских поселений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СНиП 3.06.03-85</w:t>
        </w:r>
      </w:hyperlink>
      <w:r>
        <w:rPr>
          <w:rFonts w:ascii="Calibri" w:hAnsi="Calibri" w:cs="Calibri"/>
        </w:rPr>
        <w:t xml:space="preserve"> Автомобильные дороги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ВСН 24-88</w:t>
        </w:r>
      </w:hyperlink>
      <w:r>
        <w:rPr>
          <w:rFonts w:ascii="Calibri" w:hAnsi="Calibri" w:cs="Calibri"/>
        </w:rPr>
        <w:t xml:space="preserve"> Технические правила ремонта и содержания автомобильных дорог (Минавтодор РСФСР)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Инструкция</w:t>
        </w:r>
      </w:hyperlink>
      <w:r>
        <w:rPr>
          <w:rFonts w:ascii="Calibri" w:hAnsi="Calibri" w:cs="Calibri"/>
        </w:rPr>
        <w:t xml:space="preserve"> по эксплуатации железнодорожных переездов (утверждена Министерством путей сообщения СССР 19.08.91, согласована Министерством автомобильных дорог РСФСР 17.09.90 и МВД СССР 12.02.91).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3. Требования к эксплуатационному состоянию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автомобильных дорог, улиц и дорог городов и других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населенных пунктов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Проезжая часть дорог и улиц, покрытия тротуаров, пешеходных и велосипедных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3.1. Покрытие проезжей части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3.1.1. Покрытие проезжей части не должно иметь просадок, выбоин, иных повреждений, затрудняющих движение транспортных средств с разрешенной Правилами дорожного движения скоростью.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допустимые повреждения покрытия, а также сроки их ликвидации приведены в таблице 1.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Таблица 1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2760"/>
        <w:gridCol w:w="2760"/>
      </w:tblGrid>
      <w:tr w:rsidR="0052764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дорог и улиц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их транспортно-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эксплуатационным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характеристикам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Повреждения на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кв. м покрытия,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м, не более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Сроки ликвидации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повреждений, сут.,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более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(1,5)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(3,5)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7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(7,0)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  </w:t>
            </w:r>
          </w:p>
        </w:tc>
      </w:tr>
    </w:tbl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В скобках приведены значения повреждений для весеннего периода.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Сроки ликвидации повреждений указаны для строительного сезона, определяемого погодно-климатическими условиями, приведенными в </w:t>
      </w:r>
      <w:hyperlink r:id="rId14" w:history="1">
        <w:r>
          <w:rPr>
            <w:rFonts w:ascii="Calibri" w:hAnsi="Calibri" w:cs="Calibri"/>
            <w:color w:val="0000FF"/>
          </w:rPr>
          <w:t>СНиП 3.06.03</w:t>
        </w:r>
      </w:hyperlink>
      <w:r>
        <w:rPr>
          <w:rFonts w:ascii="Calibri" w:hAnsi="Calibri" w:cs="Calibri"/>
        </w:rPr>
        <w:t xml:space="preserve"> по конкретным видам работ.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 xml:space="preserve">3.1.2. Предельные размеры отдельных просадок, выбоин и т.п. не должны превышать по длине 15 </w:t>
      </w:r>
      <w:r>
        <w:rPr>
          <w:rFonts w:ascii="Calibri" w:hAnsi="Calibri" w:cs="Calibri"/>
        </w:rPr>
        <w:lastRenderedPageBreak/>
        <w:t>см, ширине - 60 см и глубине - 5 см.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Ровность покрытия проезжей части должна соответствовать требованиям, приведенным в </w:t>
      </w:r>
      <w:hyperlink w:anchor="Par88" w:history="1">
        <w:r>
          <w:rPr>
            <w:rFonts w:ascii="Calibri" w:hAnsi="Calibri" w:cs="Calibri"/>
            <w:color w:val="0000FF"/>
          </w:rPr>
          <w:t>таблице 2</w:t>
        </w:r>
      </w:hyperlink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Коэффициент сцепления покрытия должен обеспечивать безопасные условия движения с разрешенной Правилами дорожного движения скоростью и быть не менее 0,3 при его измерении шиной без рисунка протектора и 0,4 - шиной, имеющей рисунок протектора &lt;*&gt;.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Значения коэффициента сцепления приведены для условий его измерения прибором ПКРС-2 (ТУ 78.1.003-83).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Таблица 2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2760"/>
        <w:gridCol w:w="2760"/>
      </w:tblGrid>
      <w:tr w:rsidR="0052764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дорог и улиц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их транспортно-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эксплуатационным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характеристикам     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покрытия по ровности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ровности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прибору ПКРС-2,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см/км, не более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Число просветов под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3-метровой рейкой,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%, не более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660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7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860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9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1200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14          </w:t>
            </w:r>
          </w:p>
        </w:tc>
      </w:tr>
    </w:tbl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Число просветов подсчитывают по значениям, превышающим указанные в </w:t>
      </w:r>
      <w:hyperlink r:id="rId15" w:history="1">
        <w:r>
          <w:rPr>
            <w:rFonts w:ascii="Calibri" w:hAnsi="Calibri" w:cs="Calibri"/>
            <w:color w:val="0000FF"/>
          </w:rPr>
          <w:t>СНиП 3.06.03</w:t>
        </w:r>
      </w:hyperlink>
      <w:r>
        <w:rPr>
          <w:rFonts w:ascii="Calibri" w:hAnsi="Calibri" w:cs="Calibri"/>
        </w:rPr>
        <w:t>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Время, необходимое для устранения причин, снижающих сцепные качества покрытий в зависимости от вида работ, устанавливают с момента обнаружения этих причин, и оно не должно превышать значений, приведенных в таблице 3.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Таблица 3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3240"/>
      </w:tblGrid>
      <w:tr w:rsidR="0052764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Работы по повышению сцепных качеств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покрытия      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Время, необходимое для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выполнения работ,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сут., не более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Устранение скользкости покрытия,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вызванной выпотеванием битума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Очистка покрытия от загрязнений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5  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Повышение шероховатости покрытия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15            </w:t>
            </w:r>
          </w:p>
        </w:tc>
      </w:tr>
    </w:tbl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Сроки ликвидации зимней скользкости и окончания снегоочистки для автомобильных дорог, а также улиц и дорог городов и других населенных пунктов с учетом их транспортно - эксплуатационных характеристик приведены в таблице 4.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Таблица 4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52764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Группа дорог и улиц по их 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транспортно-эксплуатационным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характеристикам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Нормативный срок ликвидации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зимней скользкости и окончания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снегоочистки, ч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А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4    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Б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5    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В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6              </w:t>
            </w:r>
          </w:p>
        </w:tc>
      </w:tr>
    </w:tbl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Нормативный срок ликвидации зимней скользкости принимается с момента ее обнаружения до полной ликвидации, а окончание снегоочистки - с момента окончания снегопада или метели до момента завершения работ.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На дорогах и улицах городов и других населенных пунктов снег с проезжей части следует </w:t>
      </w:r>
      <w:r>
        <w:rPr>
          <w:rFonts w:ascii="Calibri" w:hAnsi="Calibri" w:cs="Calibri"/>
        </w:rPr>
        <w:lastRenderedPageBreak/>
        <w:t>убирать в лотки или на разделительную полосу и формировать в виде снежных валов с разрывами на ширину 2,0 - 2,5 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очистки проезжей 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3.1.8. Формирование снежных валов не допускается: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ближе 5 м от пешеходного перехода;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ближе 20 м от остановочного пункта общественного транспорта;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участках дорог, оборудованных транспортными ограждениями или повышенным бордюром;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тротуарах.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149"/>
      <w:bookmarkEnd w:id="11"/>
      <w:r>
        <w:rPr>
          <w:rFonts w:ascii="Calibri" w:hAnsi="Calibri" w:cs="Calibri"/>
        </w:rPr>
        <w:t>3.1.9. В городах и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сроки, приведенные в таблице 5.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2" w:name="Par151"/>
      <w:bookmarkEnd w:id="12"/>
      <w:r>
        <w:rPr>
          <w:rFonts w:ascii="Calibri" w:hAnsi="Calibri" w:cs="Calibri"/>
        </w:rPr>
        <w:t>Таблица 5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3840"/>
      </w:tblGrid>
      <w:tr w:rsidR="0052764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Интенсивность движения пешеходов,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чел./час  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Время проведения работ,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ч., не более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Св. 250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 100 до 250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До 100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             </w:t>
            </w:r>
          </w:p>
        </w:tc>
      </w:tr>
    </w:tbl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164"/>
      <w:bookmarkEnd w:id="13"/>
      <w:r>
        <w:rPr>
          <w:rFonts w:ascii="Calibri" w:hAnsi="Calibri" w:cs="Calibri"/>
        </w:rPr>
        <w:t xml:space="preserve">3.1.10. Люки смотровых колодцев должны соответствовать требованиям </w:t>
      </w:r>
      <w:hyperlink r:id="rId16" w:history="1">
        <w:r>
          <w:rPr>
            <w:rFonts w:ascii="Calibri" w:hAnsi="Calibri" w:cs="Calibri"/>
            <w:color w:val="0000FF"/>
          </w:rPr>
          <w:t>ГОСТ 3634</w:t>
        </w:r>
      </w:hyperlink>
      <w:r>
        <w:rPr>
          <w:rFonts w:ascii="Calibri" w:hAnsi="Calibri" w:cs="Calibri"/>
        </w:rPr>
        <w:t>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отклонение крышки люка относительно уровня покрытия более 2,0 см.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3.1.11. Дождеприемники должны соответствовать требованиям ГОСТ 26008.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отклонение решетки дождеприемника относительно уровня лотка более 3,0 см.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3.1.12. Устранение недостатков, указанных в </w:t>
      </w:r>
      <w:hyperlink w:anchor="Par149" w:history="1">
        <w:r>
          <w:rPr>
            <w:rFonts w:ascii="Calibri" w:hAnsi="Calibri" w:cs="Calibri"/>
            <w:color w:val="0000FF"/>
          </w:rPr>
          <w:t>п. п. 3.1.9</w:t>
        </w:r>
      </w:hyperlink>
      <w:r>
        <w:rPr>
          <w:rFonts w:ascii="Calibri" w:hAnsi="Calibri" w:cs="Calibri"/>
        </w:rPr>
        <w:t xml:space="preserve"> и </w:t>
      </w:r>
      <w:hyperlink w:anchor="Par164" w:history="1">
        <w:r>
          <w:rPr>
            <w:rFonts w:ascii="Calibri" w:hAnsi="Calibri" w:cs="Calibri"/>
            <w:color w:val="0000FF"/>
          </w:rPr>
          <w:t>3.1.10</w:t>
        </w:r>
      </w:hyperlink>
      <w:r>
        <w:rPr>
          <w:rFonts w:ascii="Calibri" w:hAnsi="Calibri" w:cs="Calibri"/>
        </w:rPr>
        <w:t>, следует осуществлять в течение не более суток с момента их обнаружения.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Разрушенные крышки и решетки должны быть немедленно ограждены и обозначены соответствующими дорожными знаками. Их замена должна быть проведена в течение не более 3 ч.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3.1.13. Не допускается отклонение верха головки рельса трамвайных или железнодорожных путей, расположенных в пределах проезжей части, относительно покрытия более 2,0 см.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железнодорожных переездах не допускается возвышение междурельсового настила над верхом рельсов более 3,0 см, а глубина неровностей в покрытии междурельсового пространства (настиле) не должна быть более 4,0 см.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указанных недостатков должно быть осуществлено в течение не более 2 сут. с момента их обнаружения.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4" w:name="Par174"/>
      <w:bookmarkEnd w:id="14"/>
      <w:r>
        <w:rPr>
          <w:rFonts w:ascii="Calibri" w:hAnsi="Calibri" w:cs="Calibri"/>
        </w:rPr>
        <w:t>3.2. Обочины и разделительные полосы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Обочины и разделительные полосы, не отделенные от проезжей части бордюром, не должны быть ниже уровня прилегающей кромки проезжей части более чем на 4,0 см.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Возвышение обочины (разделительной полосы) над проезжей частью при отсутствии бордюра не допускается.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Состояние укрепительных полос по степени деформации и ровности их покрытия должно соответствовать значениям, установленным для покрытий проезжей части (</w:t>
      </w:r>
      <w:hyperlink w:anchor="Par61" w:history="1">
        <w:r>
          <w:rPr>
            <w:rFonts w:ascii="Calibri" w:hAnsi="Calibri" w:cs="Calibri"/>
            <w:color w:val="0000FF"/>
          </w:rPr>
          <w:t>п. п. 3.1.1</w:t>
        </w:r>
      </w:hyperlink>
      <w:r>
        <w:rPr>
          <w:rFonts w:ascii="Calibri" w:hAnsi="Calibri" w:cs="Calibri"/>
        </w:rPr>
        <w:t xml:space="preserve"> и </w:t>
      </w:r>
      <w:hyperlink w:anchor="Par82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>).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дефектов укрепительной полосы следует осуществлять в течение не более 14 сут. с момента обнаружения.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Повреждения грунтовых обочин (разделительных полос) не должны превышать значений, приведенных в таблице 6.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5" w:name="Par181"/>
      <w:bookmarkEnd w:id="15"/>
      <w:r>
        <w:rPr>
          <w:rFonts w:ascii="Calibri" w:hAnsi="Calibri" w:cs="Calibri"/>
        </w:rPr>
        <w:t>Таблица 6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2520"/>
        <w:gridCol w:w="1920"/>
      </w:tblGrid>
      <w:tr w:rsidR="0052764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Группа дорог и улиц по их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транспортно-эксплуатационным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характеристикам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Повреждения на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кв. м покрытия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кв. м, не более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Глубина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повреждений,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см, не более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А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5,0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Б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7,0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В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10,0     </w:t>
            </w:r>
          </w:p>
        </w:tc>
      </w:tr>
    </w:tbl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6" w:name="Par195"/>
      <w:bookmarkEnd w:id="16"/>
      <w:r>
        <w:rPr>
          <w:rFonts w:ascii="Calibri" w:hAnsi="Calibri" w:cs="Calibri"/>
        </w:rPr>
        <w:t>3.3. Видимость в плане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На пересечениях автомобильных дорог в одном уровне при отсутствии застройки должно быть обеспечено расстояние видимости в соответствии с требованиями действующих строительных норм и правил.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На неохраняемых железнодорожных переездах водителям транспортных средств, находящимся на удалении не более 50 м от ближнего рельса, должна быть обеспечена видимость приближающегося с любой стороны поезда в соответствии с нормами таблицы 7.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17" w:name="Par199"/>
      <w:bookmarkEnd w:id="17"/>
      <w:r>
        <w:rPr>
          <w:rFonts w:ascii="Calibri" w:hAnsi="Calibri" w:cs="Calibri"/>
        </w:rPr>
        <w:t>Таблица 7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1200"/>
        <w:gridCol w:w="1080"/>
        <w:gridCol w:w="1080"/>
        <w:gridCol w:w="1440"/>
      </w:tblGrid>
      <w:tr w:rsidR="0052764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Скорость движения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поезда, км/ч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121 - 140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81 - 120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41 - 80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26 - 40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 и менее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Расстояние  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видимости, 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м, не менее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 </w:t>
            </w:r>
          </w:p>
        </w:tc>
      </w:tr>
    </w:tbl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Принимается скорость движения пассажирских поездов дальнего следования, а при их отсутствии - наибольшая из скоростей движения пригородных пассажирских поездов или товарных поездов с порожними вагонами.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18" w:name="Par212"/>
      <w:bookmarkEnd w:id="18"/>
      <w:r>
        <w:rPr>
          <w:rFonts w:ascii="Calibri" w:hAnsi="Calibri" w:cs="Calibri"/>
        </w:rPr>
        <w:t>4. Требования к техническим средствам организации дорожного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движения и оборудованию дорог и улиц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19" w:name="Par215"/>
      <w:bookmarkEnd w:id="19"/>
      <w:r>
        <w:rPr>
          <w:rFonts w:ascii="Calibri" w:hAnsi="Calibri" w:cs="Calibri"/>
        </w:rPr>
        <w:t>4.1. Дорожные знаки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Автомобильные дороги, а также улицы и дороги городов и других населенных пунктов должны быть оборудованы дорожными знаками, изготовленными по </w:t>
      </w:r>
      <w:hyperlink r:id="rId17" w:history="1">
        <w:r>
          <w:rPr>
            <w:rFonts w:ascii="Calibri" w:hAnsi="Calibri" w:cs="Calibri"/>
            <w:color w:val="0000FF"/>
          </w:rPr>
          <w:t>ГОСТ 10807</w:t>
        </w:r>
      </w:hyperlink>
      <w:r>
        <w:rPr>
          <w:rFonts w:ascii="Calibri" w:hAnsi="Calibri" w:cs="Calibri"/>
        </w:rPr>
        <w:t xml:space="preserve"> и размещенными по </w:t>
      </w:r>
      <w:hyperlink r:id="rId18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 xml:space="preserve"> в соответствии с утвержденной в установленном порядке дислокацией.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Поверхность знаков должна быть чистой, без повреждений, затрудняющих их восприятие.</w:t>
      </w:r>
    </w:p>
    <w:p w:rsidR="00527642" w:rsidRDefault="00527642">
      <w:pPr>
        <w:pStyle w:val="ConsPlusNonformat"/>
      </w:pPr>
      <w:r>
        <w:t xml:space="preserve">    4.1.3. Для  дорожных знаков с световозвращающей поверхностью в</w:t>
      </w:r>
    </w:p>
    <w:p w:rsidR="00527642" w:rsidRDefault="00527642">
      <w:pPr>
        <w:pStyle w:val="ConsPlusNonformat"/>
      </w:pPr>
      <w:r>
        <w:t>процессе   их   эксплуатации   допускается   снижение    удельного</w:t>
      </w:r>
    </w:p>
    <w:p w:rsidR="00527642" w:rsidRDefault="00527642">
      <w:pPr>
        <w:pStyle w:val="ConsPlusNonformat"/>
      </w:pPr>
      <w:r>
        <w:t xml:space="preserve">                                        -1     -2</w:t>
      </w:r>
    </w:p>
    <w:p w:rsidR="00527642" w:rsidRDefault="00527642">
      <w:pPr>
        <w:pStyle w:val="ConsPlusNonformat"/>
      </w:pPr>
      <w:r>
        <w:t>коэффициента   силы   света   (кд  х  лк   х  м  )  до  не  менее:</w:t>
      </w:r>
    </w:p>
    <w:p w:rsidR="00527642" w:rsidRDefault="00527642">
      <w:pPr>
        <w:pStyle w:val="ConsPlusNonformat"/>
      </w:pPr>
      <w:r>
        <w:t>35 - для белого цвета,  20 - желтого,  6 - красного, 4 - зеленого,</w:t>
      </w:r>
    </w:p>
    <w:p w:rsidR="00527642" w:rsidRDefault="00527642">
      <w:pPr>
        <w:pStyle w:val="ConsPlusNonformat"/>
      </w:pPr>
      <w:r>
        <w:t>2 - синего.</w:t>
      </w:r>
    </w:p>
    <w:p w:rsidR="00527642" w:rsidRDefault="00527642">
      <w:pPr>
        <w:pStyle w:val="ConsPlusNonformat"/>
      </w:pPr>
      <w:r>
        <w:t xml:space="preserve">    4.1.4. Средняя яркость элементов изображения дорожных знаков с</w:t>
      </w:r>
    </w:p>
    <w:p w:rsidR="00527642" w:rsidRDefault="00527642">
      <w:pPr>
        <w:pStyle w:val="ConsPlusNonformat"/>
      </w:pPr>
      <w:r>
        <w:t xml:space="preserve">                             -2</w:t>
      </w:r>
    </w:p>
    <w:p w:rsidR="00527642" w:rsidRDefault="00527642">
      <w:pPr>
        <w:pStyle w:val="ConsPlusNonformat"/>
      </w:pPr>
      <w:r>
        <w:t>внутренним освещением (кд х м  ) не должна быть меньше:  90  - для</w:t>
      </w:r>
    </w:p>
    <w:p w:rsidR="00527642" w:rsidRDefault="00527642">
      <w:pPr>
        <w:pStyle w:val="ConsPlusNonformat"/>
      </w:pPr>
      <w:r>
        <w:t>белого и желтого цветов, 20 - зеленого, 10 - красного, 5 - синего.</w:t>
      </w:r>
    </w:p>
    <w:p w:rsidR="00527642" w:rsidRDefault="00527642">
      <w:pPr>
        <w:pStyle w:val="ConsPlusNonformat"/>
      </w:pPr>
      <w:r>
        <w:t xml:space="preserve">    Яркость  элементов   черного   цвета   не   должна   превышать</w:t>
      </w:r>
    </w:p>
    <w:p w:rsidR="00527642" w:rsidRDefault="00527642">
      <w:pPr>
        <w:pStyle w:val="ConsPlusNonformat"/>
      </w:pPr>
      <w:r>
        <w:t xml:space="preserve">        -2</w:t>
      </w:r>
    </w:p>
    <w:p w:rsidR="00527642" w:rsidRDefault="00527642">
      <w:pPr>
        <w:pStyle w:val="ConsPlusNonformat"/>
      </w:pPr>
      <w:r>
        <w:t>4 кд х м  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Замену или восстановление поврежденных дорожных знаков (кроме знаков приоритета 2.1 - 2.7) следует осуществлять в течение 3 сут. после обнаружения, а знаков приоритета - в течение суток.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0" w:name="Par234"/>
      <w:bookmarkEnd w:id="20"/>
      <w:r>
        <w:rPr>
          <w:rFonts w:ascii="Calibri" w:hAnsi="Calibri" w:cs="Calibri"/>
        </w:rPr>
        <w:t>4.2. Дорожная разметка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Разметку автомобильных дорог, а также улиц и дорог городов и других населенных пунктов следует выполнять по ГОСТ 13508 и наносить в соответствии с </w:t>
      </w:r>
      <w:hyperlink r:id="rId19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 xml:space="preserve"> и утвержденными схемами.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4.2.2. Дорожная разметка в процессе эксплуатации должна быть хорошо различима в любое время </w:t>
      </w:r>
      <w:r>
        <w:rPr>
          <w:rFonts w:ascii="Calibri" w:hAnsi="Calibri" w:cs="Calibri"/>
        </w:rPr>
        <w:lastRenderedPageBreak/>
        <w:t>суток (при условии отсутствия снега на покрытии).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Дорожная разметка должна быть восстановлена, если в процессе эксплуатации износ по площади (для продольной разметки измеряется на участке протяженностью 50 м) составляет более 50% при выполнении ее краской и более 25% - термопластичными массами.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4.2.4. Светотехнические параметры дорожной разметки в процессе эксплуатации должны отвечать следующим требованиям: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коэффициент яркости должен быть не менее значений, приведенных в таблице 8;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jc w:val="right"/>
        <w:outlineLvl w:val="2"/>
        <w:rPr>
          <w:rFonts w:ascii="Calibri" w:hAnsi="Calibri" w:cs="Calibri"/>
        </w:rPr>
      </w:pPr>
      <w:bookmarkStart w:id="21" w:name="Par241"/>
      <w:bookmarkEnd w:id="21"/>
      <w:r>
        <w:rPr>
          <w:rFonts w:ascii="Calibri" w:hAnsi="Calibri" w:cs="Calibri"/>
        </w:rPr>
        <w:t>Таблица 8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3600"/>
        <w:gridCol w:w="3360"/>
      </w:tblGrid>
      <w:tr w:rsidR="0052764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Цвет  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Коэффициент яркости разметки, %  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обычных лакокрасочных и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термопластичных материалов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лакокрасочных и  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термопластичных материалов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 световозвращающими  </w:t>
            </w:r>
          </w:p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свойствами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Белый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48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28             </w:t>
            </w:r>
          </w:p>
        </w:tc>
      </w:tr>
      <w:tr w:rsidR="005276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Желтый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29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642" w:rsidRDefault="0052764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21             </w:t>
            </w:r>
          </w:p>
        </w:tc>
      </w:tr>
    </w:tbl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pStyle w:val="ConsPlusNonformat"/>
      </w:pPr>
      <w:r>
        <w:t xml:space="preserve">                                             -1    -2</w:t>
      </w:r>
    </w:p>
    <w:p w:rsidR="00527642" w:rsidRDefault="00527642">
      <w:pPr>
        <w:pStyle w:val="ConsPlusNonformat"/>
      </w:pPr>
      <w:r>
        <w:t xml:space="preserve">    -   коэффициент   силы   света  (мкд х лк   х м  )   разметки,</w:t>
      </w:r>
    </w:p>
    <w:p w:rsidR="00527642" w:rsidRDefault="00527642">
      <w:pPr>
        <w:pStyle w:val="ConsPlusNonformat"/>
      </w:pPr>
      <w:r>
        <w:t>выполненной из световозвращающих материалов, должен быть не менее:</w:t>
      </w:r>
    </w:p>
    <w:p w:rsidR="00527642" w:rsidRDefault="00527642">
      <w:pPr>
        <w:pStyle w:val="ConsPlusNonformat"/>
      </w:pPr>
      <w:r>
        <w:t>80 - для белого цвета, 48 - желтого.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4.2.5. Восстановление разметки следует проводить в соответствии с действующей технологией.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4.2.6. Коэффициент сцепления разметки должен быть не менее 0,75 значений коэффициента сцепления покрытия.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2" w:name="Par263"/>
      <w:bookmarkEnd w:id="22"/>
      <w:r>
        <w:rPr>
          <w:rFonts w:ascii="Calibri" w:hAnsi="Calibri" w:cs="Calibri"/>
        </w:rPr>
        <w:t>4.3. Дорожные светофоры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Светофоры должны соответствовать требованиям </w:t>
      </w:r>
      <w:hyperlink r:id="rId20" w:history="1">
        <w:r>
          <w:rPr>
            <w:rFonts w:ascii="Calibri" w:hAnsi="Calibri" w:cs="Calibri"/>
            <w:color w:val="0000FF"/>
          </w:rPr>
          <w:t>ГОСТ 25695</w:t>
        </w:r>
      </w:hyperlink>
      <w:r>
        <w:rPr>
          <w:rFonts w:ascii="Calibri" w:hAnsi="Calibri" w:cs="Calibri"/>
        </w:rPr>
        <w:t xml:space="preserve">, а их размещение и режим работы - требованиям </w:t>
      </w:r>
      <w:hyperlink r:id="rId21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>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Отдельные детали светофора либо элементы его крепления не должны иметь видимых повреждений и разрушений.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Рассеиватель не должен иметь трещин и сколов.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Символы, наносимые на рассеиватели, должны распознаваться с расстояния не менее 50 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Отражатель не должен иметь разрушений и коррозии, вызывающих появление зон пониженной яркости, различимых с расстояния 50 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4.3.3. В процессе эксплуатации допускается снижение силы света сигнала светофора в осевом направлении не более чем на 30% значений, установленных по </w:t>
      </w:r>
      <w:hyperlink r:id="rId22" w:history="1">
        <w:r>
          <w:rPr>
            <w:rFonts w:ascii="Calibri" w:hAnsi="Calibri" w:cs="Calibri"/>
            <w:color w:val="0000FF"/>
          </w:rPr>
          <w:t>ГОСТ 25695</w:t>
        </w:r>
      </w:hyperlink>
      <w:r>
        <w:rPr>
          <w:rFonts w:ascii="Calibri" w:hAnsi="Calibri" w:cs="Calibri"/>
        </w:rPr>
        <w:t>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Замену вышедшего из строя источника света следует осуществлять в течение суток с момента обнаружения неисправности, а поврежденной электромонтажной схемы в корпусе светофора или электрического кабеля - в течение 3 сут.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3" w:name="Par272"/>
      <w:bookmarkEnd w:id="23"/>
      <w:r>
        <w:rPr>
          <w:rFonts w:ascii="Calibri" w:hAnsi="Calibri" w:cs="Calibri"/>
        </w:rPr>
        <w:t>4.4. Дорожные ограждения и бортовой камень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4.4.1. Опасные для движения участки автомобильных дорог, улиц и дорог городов и других населенных пунктов, в том числе проходящие по мостам и путепроводам, должны быть оборудованы ограждениями в соответствии с ГОСТ 25804, </w:t>
      </w:r>
      <w:hyperlink r:id="rId23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СНиП 2.05.02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СНиП 2.05.03</w:t>
        </w:r>
      </w:hyperlink>
      <w:r>
        <w:rPr>
          <w:rFonts w:ascii="Calibri" w:hAnsi="Calibri" w:cs="Calibri"/>
        </w:rPr>
        <w:t>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Ограждения должны быть окрашены в соответствии с ГОСТ 13508. Не требуют окраски оцинкованные поверхности ограждений.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Поврежденные элементы ограждений подлежат восстановлению или замене в течение 5 сут. после обнаружения дефектов.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Отдельные бортовые камни подлежат замене, если их открытая поверхность имеет разрушения более чем на 20% площади или на поверхности имеются сколы глубиной более 3,0 см.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допускается отклонение бортового камня от его проектного положения.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4" w:name="Par280"/>
      <w:bookmarkEnd w:id="24"/>
      <w:r>
        <w:rPr>
          <w:rFonts w:ascii="Calibri" w:hAnsi="Calibri" w:cs="Calibri"/>
        </w:rPr>
        <w:t>4.5. Сигнальные столбики и маяки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4.5.1. Сигнальные столбики и маяки следует устанавливать в соответствии с требованиями </w:t>
      </w:r>
      <w:hyperlink r:id="rId26" w:history="1">
        <w:r>
          <w:rPr>
            <w:rFonts w:ascii="Calibri" w:hAnsi="Calibri" w:cs="Calibri"/>
            <w:color w:val="0000FF"/>
          </w:rPr>
          <w:t>ГОСТ 23457</w:t>
        </w:r>
      </w:hyperlink>
      <w:r>
        <w:rPr>
          <w:rFonts w:ascii="Calibri" w:hAnsi="Calibri" w:cs="Calibri"/>
        </w:rPr>
        <w:t>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4.5.3. Сигнальные столбики и маяки должны иметь окраску, вертикальную разметку и световозвращатели в соответствии с требованиями ГОСТ 13508.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4.5.4. Поврежденные сигнальные столбики должны быть заменены в течение 5 сут. после обнаружения повреждения.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4.5.5. Замену вышедшего из строя источника света или поврежденного элемента маяка следует осуществлять в течение суток с момента обнаружения неисправности.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  <w:bookmarkStart w:id="25" w:name="Par287"/>
      <w:bookmarkEnd w:id="25"/>
      <w:r>
        <w:rPr>
          <w:rFonts w:ascii="Calibri" w:hAnsi="Calibri" w:cs="Calibri"/>
        </w:rPr>
        <w:t>4.6. Наружное освещение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4.6.1. Включение наружных осветительных установок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4.6.2. Переключение освещения транспортных тоннелей с дневного на ночной режим и обратно следует проводить при достижении естественной освещенности 100 лк.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4.6.3.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4.6.4. Допускается частичное ( до 50%) отключение наружного освещения в ночное время в случае, когда интенсивность движения пешеходов менее 40 чел./ч. и транспортных средств в обоих направлениях - менее 50 ед./ч.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4.6.5. Отказы в работе наружных осветительных установок, связанные с обрывом электрических проводов или повреждением опор, следует устранять немедленно после обнаружения.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26" w:name="Par294"/>
      <w:bookmarkEnd w:id="26"/>
      <w:r>
        <w:rPr>
          <w:rFonts w:ascii="Calibri" w:hAnsi="Calibri" w:cs="Calibri"/>
        </w:rPr>
        <w:t>5. Методы контроля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Сцепление и ровность покрытия следует оценивать приборами ПКРС, ППК-МАДИ-ВНИИБД, 3-метровой рейкой с клином в соответствии с прилагаемыми к ним инструкциями по эксплуатации.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Контроль линейных параметров, характеризующих техническое состояние дорог и улиц, следует осуществлять с помощью линейки или рулетки.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других параметров, не имеющих количественной оценки, осуществляется визуально.</w:t>
      </w:r>
    </w:p>
    <w:p w:rsidR="00527642" w:rsidRDefault="0052764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Свето- и цветотехнические характеристики дорожной разметки следует определять по ГОСТ 13508, сигналов дорожных светофоров - по </w:t>
      </w:r>
      <w:hyperlink r:id="rId27" w:history="1">
        <w:r>
          <w:rPr>
            <w:rFonts w:ascii="Calibri" w:hAnsi="Calibri" w:cs="Calibri"/>
            <w:color w:val="0000FF"/>
          </w:rPr>
          <w:t>ГОСТ 25695</w:t>
        </w:r>
      </w:hyperlink>
      <w:r>
        <w:rPr>
          <w:rFonts w:ascii="Calibri" w:hAnsi="Calibri" w:cs="Calibri"/>
        </w:rPr>
        <w:t xml:space="preserve">, дорожных знаков - по </w:t>
      </w:r>
      <w:hyperlink r:id="rId28" w:history="1">
        <w:r>
          <w:rPr>
            <w:rFonts w:ascii="Calibri" w:hAnsi="Calibri" w:cs="Calibri"/>
            <w:color w:val="0000FF"/>
          </w:rPr>
          <w:t>ГОСТ 10807</w:t>
        </w:r>
      </w:hyperlink>
      <w:r>
        <w:rPr>
          <w:rFonts w:ascii="Calibri" w:hAnsi="Calibri" w:cs="Calibri"/>
        </w:rPr>
        <w:t>.</w:t>
      </w: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27642" w:rsidRDefault="005276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C3496" w:rsidRDefault="000C3496">
      <w:bookmarkStart w:id="27" w:name="_GoBack"/>
      <w:bookmarkEnd w:id="27"/>
    </w:p>
    <w:sectPr w:rsidR="000C3496" w:rsidSect="004427A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42"/>
    <w:rsid w:val="000C3496"/>
    <w:rsid w:val="00234DD9"/>
    <w:rsid w:val="00527642"/>
    <w:rsid w:val="007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7642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7642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9620AE2DC0F6EBE72552BD7ED6857D1346D8C49FB034244EF53o5x5G" TargetMode="External"/><Relationship Id="rId13" Type="http://schemas.openxmlformats.org/officeDocument/2006/relationships/hyperlink" Target="consultantplus://offline/ref=4599620AE2DC0F6EBE72432CD0ED6857D137628F45A6094A1DE35152o4xAG" TargetMode="External"/><Relationship Id="rId18" Type="http://schemas.openxmlformats.org/officeDocument/2006/relationships/hyperlink" Target="consultantplus://offline/ref=4599620AE2DC0F6EBE72552BD7ED6857D131638C4AA6094A1DE35152o4xAG" TargetMode="External"/><Relationship Id="rId26" Type="http://schemas.openxmlformats.org/officeDocument/2006/relationships/hyperlink" Target="consultantplus://offline/ref=4599620AE2DC0F6EBE72552BD7ED6857D131638C4AA6094A1DE35152o4x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99620AE2DC0F6EBE72552BD7ED6857D131638C4AA6094A1DE35152o4xAG" TargetMode="External"/><Relationship Id="rId7" Type="http://schemas.openxmlformats.org/officeDocument/2006/relationships/hyperlink" Target="consultantplus://offline/ref=4599620AE2DC0F6EBE72552BD7ED6857D131698B49FB034244EF53o5x5G" TargetMode="External"/><Relationship Id="rId12" Type="http://schemas.openxmlformats.org/officeDocument/2006/relationships/hyperlink" Target="consultantplus://offline/ref=4599620AE2DC0F6EBE72552BD7ED6857D6346D8F49FB034244EF53o5x5G" TargetMode="External"/><Relationship Id="rId17" Type="http://schemas.openxmlformats.org/officeDocument/2006/relationships/hyperlink" Target="consultantplus://offline/ref=4599620AE2DC0F6EBE72552BD7ED6857D1316A8945A6094A1DE35152o4xAG" TargetMode="External"/><Relationship Id="rId25" Type="http://schemas.openxmlformats.org/officeDocument/2006/relationships/hyperlink" Target="consultantplus://offline/ref=4599620AE2DC0F6EBE72552BD7ED6857D4356B8B49FB034244EF53o5x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99620AE2DC0F6EBE72552BD7ED6857D3366E8949FB034244EF53o5x5G" TargetMode="External"/><Relationship Id="rId20" Type="http://schemas.openxmlformats.org/officeDocument/2006/relationships/hyperlink" Target="consultantplus://offline/ref=4599620AE2DC0F6EBE72552BD7ED6857D131698B49FB034244EF53o5x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9620AE2DC0F6EBE72552BD7ED6857D131638C4AA6094A1DE35152o4xAG" TargetMode="External"/><Relationship Id="rId11" Type="http://schemas.openxmlformats.org/officeDocument/2006/relationships/hyperlink" Target="consultantplus://offline/ref=4599620AE2DC0F6EBE72552BD7ED6857D4376C8949FB034244EF53o5x5G" TargetMode="External"/><Relationship Id="rId24" Type="http://schemas.openxmlformats.org/officeDocument/2006/relationships/hyperlink" Target="consultantplus://offline/ref=4599620AE2DC0F6EBE72552BD7ED6857D136688D4AA6094A1DE35152o4xAG" TargetMode="External"/><Relationship Id="rId5" Type="http://schemas.openxmlformats.org/officeDocument/2006/relationships/hyperlink" Target="consultantplus://offline/ref=4599620AE2DC0F6EBE72552BD7ED6857D1316A8945A6094A1DE35152o4xAG" TargetMode="External"/><Relationship Id="rId15" Type="http://schemas.openxmlformats.org/officeDocument/2006/relationships/hyperlink" Target="consultantplus://offline/ref=4599620AE2DC0F6EBE72552BD7ED6857D4376C8949FB034244EF53o5x5G" TargetMode="External"/><Relationship Id="rId23" Type="http://schemas.openxmlformats.org/officeDocument/2006/relationships/hyperlink" Target="consultantplus://offline/ref=4599620AE2DC0F6EBE72552BD7ED6857D131638C4AA6094A1DE35152o4xAG" TargetMode="External"/><Relationship Id="rId28" Type="http://schemas.openxmlformats.org/officeDocument/2006/relationships/hyperlink" Target="consultantplus://offline/ref=4599620AE2DC0F6EBE72552BD7ED6857D1316A8945A6094A1DE35152o4xAG" TargetMode="External"/><Relationship Id="rId10" Type="http://schemas.openxmlformats.org/officeDocument/2006/relationships/hyperlink" Target="consultantplus://offline/ref=4599620AE2DC0F6EBE72552BD7ED6857D2376A8949FB034244EF53o5x5G" TargetMode="External"/><Relationship Id="rId19" Type="http://schemas.openxmlformats.org/officeDocument/2006/relationships/hyperlink" Target="consultantplus://offline/ref=4599620AE2DC0F6EBE72552BD7ED6857D131638C4AA6094A1DE35152o4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9620AE2DC0F6EBE72552BD7ED6857D136688D4AA6094A1DE35152o4xAG" TargetMode="External"/><Relationship Id="rId14" Type="http://schemas.openxmlformats.org/officeDocument/2006/relationships/hyperlink" Target="consultantplus://offline/ref=4599620AE2DC0F6EBE72552BD7ED6857D4376C8949FB034244EF53o5x5G" TargetMode="External"/><Relationship Id="rId22" Type="http://schemas.openxmlformats.org/officeDocument/2006/relationships/hyperlink" Target="consultantplus://offline/ref=4599620AE2DC0F6EBE72552BD7ED6857D131698B49FB034244EF53o5x5G" TargetMode="External"/><Relationship Id="rId27" Type="http://schemas.openxmlformats.org/officeDocument/2006/relationships/hyperlink" Target="consultantplus://offline/ref=4599620AE2DC0F6EBE72552BD7ED6857D131698B49FB034244EF53o5x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2014-04-28T06:49:00Z</dcterms:created>
  <dcterms:modified xsi:type="dcterms:W3CDTF">2014-04-28T06:50:00Z</dcterms:modified>
</cp:coreProperties>
</file>